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27" w:rsidRDefault="00116C27">
      <w:r>
        <w:rPr>
          <w:noProof/>
        </w:rPr>
        <w:pict>
          <v:roundrect id="_x0000_s1026" style="position:absolute;margin-left:-5.25pt;margin-top:-6.85pt;width:553.5pt;height:78.85pt;z-index:251656192" arcsize="10923f" fillcolor="#8db3e2" strokeweight="6pt">
            <v:textbox style="mso-next-textbox:#_x0000_s1026">
              <w:txbxContent>
                <w:p w:rsidR="008A47C9" w:rsidRDefault="008A47C9" w:rsidP="0095068D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</w:rPr>
                    <w:t>Unit Overview</w:t>
                  </w:r>
                </w:p>
                <w:p w:rsidR="008A47C9" w:rsidRDefault="00513798" w:rsidP="0095068D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</w:rPr>
                    <w:t>Grade 10 – Geometry – Unit 2 (20-25 days)</w:t>
                  </w:r>
                </w:p>
                <w:p w:rsidR="008A47C9" w:rsidRDefault="00513798" w:rsidP="0095068D">
                  <w:pPr>
                    <w:jc w:val="center"/>
                    <w:rPr>
                      <w:rFonts w:ascii="Verdana" w:hAnsi="Verdana"/>
                      <w:b/>
                      <w:sz w:val="28"/>
                      <w:szCs w:val="28"/>
                    </w:rPr>
                  </w:pPr>
                  <w:r>
                    <w:rPr>
                      <w:rFonts w:ascii="Verdana" w:hAnsi="Verdana"/>
                      <w:b/>
                      <w:sz w:val="28"/>
                      <w:szCs w:val="28"/>
                    </w:rPr>
                    <w:t>Congruence</w:t>
                  </w:r>
                </w:p>
                <w:p w:rsidR="008A47C9" w:rsidRPr="0095068D" w:rsidRDefault="008A47C9" w:rsidP="003D127A">
                  <w:pPr>
                    <w:jc w:val="center"/>
                  </w:pPr>
                </w:p>
              </w:txbxContent>
            </v:textbox>
          </v:roundrect>
        </w:pict>
      </w:r>
    </w:p>
    <w:p w:rsidR="00116C27" w:rsidRDefault="00116C27"/>
    <w:p w:rsidR="00116C27" w:rsidRDefault="00116C27"/>
    <w:p w:rsidR="00116C27" w:rsidRDefault="00116C27"/>
    <w:p w:rsidR="00116C27" w:rsidRDefault="00116C27"/>
    <w:p w:rsidR="00116C27" w:rsidRDefault="0081454C">
      <w:r>
        <w:rPr>
          <w:noProof/>
        </w:rPr>
        <w:pict>
          <v:rect id="_x0000_s1028" style="position:absolute;margin-left:151.55pt;margin-top:14.9pt;width:396.7pt;height:280.3pt;z-index:251657216" strokeweight="3pt">
            <v:textbox style="mso-next-textbox:#_x0000_s1028">
              <w:txbxContent>
                <w:p w:rsidR="008A47C9" w:rsidRDefault="00513798" w:rsidP="009D005B">
                  <w:pPr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Unit Summary</w:t>
                  </w:r>
                </w:p>
                <w:p w:rsidR="00513798" w:rsidRDefault="00513798" w:rsidP="009D005B">
                  <w:pPr>
                    <w:rPr>
                      <w:rFonts w:ascii="Verdana" w:hAnsi="Verdana"/>
                      <w:b/>
                    </w:rPr>
                  </w:pPr>
                </w:p>
                <w:p w:rsidR="00513798" w:rsidRPr="003D127A" w:rsidRDefault="00513798" w:rsidP="009D005B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b/>
                    </w:rPr>
                    <w:t xml:space="preserve">Students will prove triangle congruence or use properties of congruence. </w:t>
                  </w:r>
                </w:p>
                <w:p w:rsidR="008A47C9" w:rsidRDefault="008A47C9" w:rsidP="009D005B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9D005B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9D005B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9D005B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3B7388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3B7388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3B7388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3B7388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3B7388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Pr="009D005B" w:rsidRDefault="008A47C9" w:rsidP="009D005B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oundrect id="_x0000_s1053" style="position:absolute;margin-left:-13.5pt;margin-top:9.05pt;width:149.15pt;height:605.25pt;z-index:251658240" arcsize="10923f" strokeweight="3pt">
            <v:textbox>
              <w:txbxContent>
                <w:p w:rsidR="008A47C9" w:rsidRDefault="008A47C9" w:rsidP="003D127A">
                  <w:pPr>
                    <w:rPr>
                      <w:rFonts w:ascii="Verdana" w:hAnsi="Verdana"/>
                      <w:i/>
                    </w:rPr>
                  </w:pPr>
                  <w:r>
                    <w:rPr>
                      <w:rFonts w:ascii="Verdana" w:hAnsi="Verdana"/>
                      <w:i/>
                    </w:rPr>
                    <w:t>(Optional) Content Specialists Might Consider:</w:t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8" w:space="0" w:color="FFFFFF"/>
                      <w:left w:val="single" w:sz="8" w:space="0" w:color="FFFFFF"/>
                      <w:bottom w:val="single" w:sz="8" w:space="0" w:color="FFFFFF"/>
                      <w:right w:val="single" w:sz="8" w:space="0" w:color="FFFFFF"/>
                      <w:insideH w:val="single" w:sz="8" w:space="0" w:color="FFFFFF"/>
                      <w:insideV w:val="single" w:sz="8" w:space="0" w:color="FFFFFF"/>
                    </w:tblBorders>
                    <w:tblLook w:val="04A0"/>
                  </w:tblPr>
                  <w:tblGrid>
                    <w:gridCol w:w="2593"/>
                  </w:tblGrid>
                  <w:tr w:rsidR="008A47C9" w:rsidRPr="0081454C" w:rsidTr="0073054D">
                    <w:trPr>
                      <w:jc w:val="center"/>
                    </w:trPr>
                    <w:tc>
                      <w:tcPr>
                        <w:tcW w:w="4788" w:type="dxa"/>
                      </w:tcPr>
                      <w:p w:rsidR="008A47C9" w:rsidRPr="003F1E93" w:rsidRDefault="008A47C9" w:rsidP="0081454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line="240" w:lineRule="auto"/>
                          <w:contextualSpacing w:val="0"/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</w:pPr>
                        <w:r w:rsidRPr="003F1E93"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  <w:t>Possible misconceptions</w:t>
                        </w:r>
                      </w:p>
                    </w:tc>
                  </w:tr>
                  <w:tr w:rsidR="008A47C9" w:rsidRPr="0081454C" w:rsidTr="0073054D">
                    <w:trPr>
                      <w:jc w:val="center"/>
                    </w:trPr>
                    <w:tc>
                      <w:tcPr>
                        <w:tcW w:w="4788" w:type="dxa"/>
                      </w:tcPr>
                      <w:p w:rsidR="008A47C9" w:rsidRPr="003F1E93" w:rsidRDefault="008A47C9" w:rsidP="0081454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line="240" w:lineRule="auto"/>
                          <w:contextualSpacing w:val="0"/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</w:pPr>
                        <w:r w:rsidRPr="003F1E93"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  <w:t>Instructional considerations</w:t>
                        </w:r>
                      </w:p>
                      <w:p w:rsidR="008A47C9" w:rsidRPr="003F1E93" w:rsidRDefault="008A47C9" w:rsidP="0081454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line="240" w:lineRule="auto"/>
                          <w:contextualSpacing w:val="0"/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</w:pPr>
                        <w:r w:rsidRPr="003F1E93"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  <w:t>Could be dynamic as we receive feedback from teachers in the field</w:t>
                        </w:r>
                      </w:p>
                    </w:tc>
                  </w:tr>
                  <w:tr w:rsidR="008A47C9" w:rsidRPr="0081454C" w:rsidTr="0073054D">
                    <w:trPr>
                      <w:jc w:val="center"/>
                    </w:trPr>
                    <w:tc>
                      <w:tcPr>
                        <w:tcW w:w="4788" w:type="dxa"/>
                      </w:tcPr>
                      <w:p w:rsidR="008A47C9" w:rsidRPr="003F1E93" w:rsidRDefault="008A47C9" w:rsidP="0081454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line="240" w:lineRule="auto"/>
                          <w:contextualSpacing w:val="0"/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</w:pPr>
                        <w:r w:rsidRPr="003F1E93"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  <w:t>Stage 2 and 3 connections (explanations or links)</w:t>
                        </w:r>
                      </w:p>
                    </w:tc>
                  </w:tr>
                  <w:tr w:rsidR="008A47C9" w:rsidRPr="0081454C" w:rsidTr="0073054D">
                    <w:trPr>
                      <w:jc w:val="center"/>
                    </w:trPr>
                    <w:tc>
                      <w:tcPr>
                        <w:tcW w:w="4788" w:type="dxa"/>
                      </w:tcPr>
                      <w:p w:rsidR="008A47C9" w:rsidRPr="003F1E93" w:rsidRDefault="008A47C9" w:rsidP="0081454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line="240" w:lineRule="auto"/>
                          <w:contextualSpacing w:val="0"/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</w:pPr>
                        <w:r w:rsidRPr="003F1E93"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  <w:t>Curriculum writers should examine what components may need additional support for the classroom teacher; to replace a F2F dialogue</w:t>
                        </w:r>
                      </w:p>
                    </w:tc>
                  </w:tr>
                  <w:tr w:rsidR="008A47C9" w:rsidRPr="0081454C" w:rsidTr="0073054D">
                    <w:trPr>
                      <w:jc w:val="center"/>
                    </w:trPr>
                    <w:tc>
                      <w:tcPr>
                        <w:tcW w:w="4788" w:type="dxa"/>
                      </w:tcPr>
                      <w:p w:rsidR="008A47C9" w:rsidRPr="003F1E93" w:rsidRDefault="008A47C9" w:rsidP="0081454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line="240" w:lineRule="auto"/>
                          <w:contextualSpacing w:val="0"/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</w:pPr>
                        <w:r w:rsidRPr="003F1E93"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  <w:t>Resources</w:t>
                        </w:r>
                      </w:p>
                    </w:tc>
                  </w:tr>
                  <w:tr w:rsidR="008A47C9" w:rsidRPr="0081454C" w:rsidTr="0073054D">
                    <w:trPr>
                      <w:jc w:val="center"/>
                    </w:trPr>
                    <w:tc>
                      <w:tcPr>
                        <w:tcW w:w="4788" w:type="dxa"/>
                      </w:tcPr>
                      <w:p w:rsidR="008A47C9" w:rsidRPr="003F1E93" w:rsidRDefault="008A47C9" w:rsidP="0081454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line="240" w:lineRule="auto"/>
                          <w:contextualSpacing w:val="0"/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</w:pPr>
                        <w:r w:rsidRPr="003F1E93"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  <w:t>Cross-curricular connections</w:t>
                        </w:r>
                      </w:p>
                    </w:tc>
                  </w:tr>
                  <w:tr w:rsidR="008A47C9" w:rsidRPr="0081454C" w:rsidTr="0073054D">
                    <w:trPr>
                      <w:jc w:val="center"/>
                    </w:trPr>
                    <w:tc>
                      <w:tcPr>
                        <w:tcW w:w="4788" w:type="dxa"/>
                      </w:tcPr>
                      <w:p w:rsidR="008A47C9" w:rsidRPr="003F1E93" w:rsidRDefault="008A47C9" w:rsidP="0081454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line="240" w:lineRule="auto"/>
                          <w:contextualSpacing w:val="0"/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</w:pPr>
                        <w:r w:rsidRPr="003F1E93"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  <w:t>Safety Issues (e.g. Science, Physical education)</w:t>
                        </w:r>
                      </w:p>
                    </w:tc>
                  </w:tr>
                  <w:tr w:rsidR="008A47C9" w:rsidRPr="0081454C" w:rsidTr="0073054D">
                    <w:trPr>
                      <w:jc w:val="center"/>
                    </w:trPr>
                    <w:tc>
                      <w:tcPr>
                        <w:tcW w:w="4788" w:type="dxa"/>
                      </w:tcPr>
                      <w:p w:rsidR="008A47C9" w:rsidRPr="003F1E93" w:rsidRDefault="008A47C9" w:rsidP="0081454C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line="240" w:lineRule="auto"/>
                          <w:contextualSpacing w:val="0"/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</w:pPr>
                        <w:r w:rsidRPr="003F1E93">
                          <w:rPr>
                            <w:rFonts w:ascii="Gautami" w:hAnsi="Gautami" w:cs="Gautami"/>
                            <w:color w:val="1F497D"/>
                            <w:sz w:val="20"/>
                            <w:szCs w:val="20"/>
                          </w:rPr>
                          <w:t>Identify the sequence of learning for students; the spiraling sequence: for example…</w:t>
                        </w:r>
                        <w:r w:rsidRPr="003F1E93">
                          <w:rPr>
                            <w:rFonts w:ascii="Gautami" w:hAnsi="Gautami" w:cs="Gautami"/>
                            <w:i/>
                            <w:color w:val="1F497D"/>
                            <w:sz w:val="20"/>
                            <w:szCs w:val="20"/>
                          </w:rPr>
                          <w:t>Students are coming into this unit/level/course with learning experiences around… and this unit will focus specifically on __.Students will be able to___ next…</w:t>
                        </w:r>
                      </w:p>
                    </w:tc>
                  </w:tr>
                </w:tbl>
                <w:p w:rsidR="008A47C9" w:rsidRPr="00EF0023" w:rsidRDefault="008A47C9" w:rsidP="003D127A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/>
              </w:txbxContent>
            </v:textbox>
          </v:roundrect>
        </w:pict>
      </w:r>
    </w:p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81454C">
      <w:r>
        <w:rPr>
          <w:noProof/>
        </w:rPr>
        <w:pict>
          <v:rect id="_x0000_s1054" style="position:absolute;margin-left:151.55pt;margin-top:9.95pt;width:396.7pt;height:295.5pt;z-index:251659264" strokeweight="3pt">
            <v:textbox style="mso-next-textbox:#_x0000_s1054">
              <w:txbxContent>
                <w:p w:rsidR="008A47C9" w:rsidRDefault="008A47C9" w:rsidP="003D127A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b/>
                    </w:rPr>
                    <w:t>Unit Focus</w:t>
                  </w:r>
                </w:p>
                <w:p w:rsidR="00513798" w:rsidRDefault="00513798" w:rsidP="003D127A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Triangle sum theorem</w:t>
                  </w:r>
                </w:p>
                <w:p w:rsidR="00513798" w:rsidRDefault="00513798" w:rsidP="003D127A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Triangle inequality</w:t>
                  </w:r>
                </w:p>
                <w:p w:rsidR="00513798" w:rsidRDefault="00513798" w:rsidP="003D127A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CPCTC</w:t>
                  </w:r>
                </w:p>
                <w:p w:rsidR="00513798" w:rsidRDefault="00513798" w:rsidP="003D127A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SAS, ASA, AAS, SSS, HL</w:t>
                  </w:r>
                </w:p>
                <w:p w:rsidR="00513798" w:rsidRDefault="00513798" w:rsidP="003D127A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Definitions and properties: Midsegment, median, altitude, centroid</w:t>
                  </w:r>
                </w:p>
                <w:p w:rsidR="00513798" w:rsidRDefault="00513798" w:rsidP="003D127A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Paragraph proofs, Flowcharts, or Two-column proofs</w:t>
                  </w:r>
                </w:p>
                <w:p w:rsidR="00513798" w:rsidRDefault="00513798" w:rsidP="003D127A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Distance formula</w:t>
                  </w:r>
                </w:p>
                <w:p w:rsidR="00513798" w:rsidRDefault="00513798" w:rsidP="003D127A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Midpoint formula</w:t>
                  </w:r>
                </w:p>
                <w:p w:rsidR="00513798" w:rsidRDefault="00513798" w:rsidP="003D127A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Construction of medians, altitudes, midsegments, centroids</w:t>
                  </w:r>
                </w:p>
                <w:p w:rsidR="00513798" w:rsidRDefault="00513798" w:rsidP="003D127A">
                  <w:pPr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Coordinate geometry to demonstrate concepts or congruence.</w:t>
                  </w:r>
                </w:p>
                <w:p w:rsidR="00513798" w:rsidRDefault="00513798" w:rsidP="003D127A">
                  <w:pPr>
                    <w:rPr>
                      <w:rFonts w:ascii="Verdana" w:hAnsi="Verdana"/>
                    </w:rPr>
                  </w:pPr>
                </w:p>
                <w:p w:rsidR="00513798" w:rsidRPr="003D127A" w:rsidRDefault="00513798" w:rsidP="003D127A">
                  <w:pPr>
                    <w:rPr>
                      <w:rFonts w:ascii="Verdana" w:hAnsi="Verdana"/>
                      <w:b/>
                    </w:rPr>
                  </w:pPr>
                </w:p>
                <w:p w:rsidR="008A47C9" w:rsidRDefault="008A47C9" w:rsidP="003D127A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3D127A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3D127A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3D127A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3D127A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3D127A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3D127A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3D127A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Default="008A47C9" w:rsidP="003D127A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8A47C9" w:rsidRPr="009D005B" w:rsidRDefault="008A47C9" w:rsidP="003D127A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rect>
        </w:pict>
      </w:r>
    </w:p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116C27" w:rsidRDefault="00116C27"/>
    <w:p w:rsidR="00D14D38" w:rsidRDefault="00D14D38"/>
    <w:sectPr w:rsidR="00D14D38" w:rsidSect="00493AEA">
      <w:footerReference w:type="default" r:id="rId7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297" w:rsidRDefault="00A96297" w:rsidP="006E06FD">
      <w:pPr>
        <w:spacing w:line="240" w:lineRule="auto"/>
      </w:pPr>
      <w:r>
        <w:separator/>
      </w:r>
    </w:p>
  </w:endnote>
  <w:endnote w:type="continuationSeparator" w:id="0">
    <w:p w:rsidR="00A96297" w:rsidRDefault="00A96297" w:rsidP="006E06F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7C9" w:rsidRPr="0081454C" w:rsidRDefault="008A47C9" w:rsidP="0081454C">
    <w:pPr>
      <w:pStyle w:val="Footer"/>
      <w:rPr>
        <w:rFonts w:ascii="Century Gothic" w:hAnsi="Century Gothic"/>
        <w:i/>
        <w:sz w:val="18"/>
        <w:szCs w:val="18"/>
      </w:rPr>
    </w:pPr>
    <w:r>
      <w:rPr>
        <w:rFonts w:ascii="Century Gothic" w:hAnsi="Century Gothic"/>
        <w:i/>
        <w:sz w:val="18"/>
        <w:szCs w:val="18"/>
      </w:rPr>
      <w:t>© Jeffco Public Schools</w:t>
    </w:r>
    <w:r>
      <w:rPr>
        <w:rFonts w:ascii="Century Gothic" w:hAnsi="Century Gothic"/>
        <w:i/>
        <w:sz w:val="18"/>
        <w:szCs w:val="18"/>
      </w:rPr>
      <w:tab/>
      <w:t xml:space="preserve">                   </w:t>
    </w:r>
    <w:r>
      <w:rPr>
        <w:rFonts w:ascii="Century Gothic" w:hAnsi="Century Gothic"/>
        <w:sz w:val="18"/>
        <w:szCs w:val="18"/>
      </w:rPr>
      <w:t xml:space="preserve">Page </w:t>
    </w:r>
    <w:r>
      <w:rPr>
        <w:rStyle w:val="PageNumber"/>
        <w:rFonts w:ascii="Century Gothic" w:hAnsi="Century Gothic"/>
        <w:sz w:val="18"/>
        <w:szCs w:val="18"/>
      </w:rPr>
      <w:fldChar w:fldCharType="begin"/>
    </w:r>
    <w:r>
      <w:rPr>
        <w:rStyle w:val="PageNumber"/>
        <w:rFonts w:ascii="Century Gothic" w:hAnsi="Century Gothic"/>
        <w:sz w:val="18"/>
        <w:szCs w:val="18"/>
      </w:rPr>
      <w:instrText xml:space="preserve"> PAGE </w:instrText>
    </w:r>
    <w:r>
      <w:rPr>
        <w:rStyle w:val="PageNumber"/>
        <w:rFonts w:ascii="Century Gothic" w:hAnsi="Century Gothic"/>
        <w:sz w:val="18"/>
        <w:szCs w:val="18"/>
      </w:rPr>
      <w:fldChar w:fldCharType="separate"/>
    </w:r>
    <w:r w:rsidR="00513798">
      <w:rPr>
        <w:rStyle w:val="PageNumber"/>
        <w:rFonts w:ascii="Century Gothic" w:hAnsi="Century Gothic"/>
        <w:noProof/>
        <w:sz w:val="18"/>
        <w:szCs w:val="18"/>
      </w:rPr>
      <w:t>1</w:t>
    </w:r>
    <w:r>
      <w:rPr>
        <w:rStyle w:val="PageNumber"/>
        <w:rFonts w:ascii="Century Gothic" w:hAnsi="Century Gothic"/>
        <w:sz w:val="18"/>
        <w:szCs w:val="18"/>
      </w:rPr>
      <w:fldChar w:fldCharType="end"/>
    </w:r>
    <w:r>
      <w:rPr>
        <w:rFonts w:ascii="Century Gothic" w:hAnsi="Century Gothic"/>
        <w:i/>
        <w:sz w:val="18"/>
        <w:szCs w:val="18"/>
      </w:rPr>
      <w:tab/>
      <w:t xml:space="preserve">  </w:t>
    </w:r>
    <w:r w:rsidRPr="0081454C">
      <w:rPr>
        <w:rFonts w:ascii="Century Gothic" w:hAnsi="Century Gothic"/>
        <w:i/>
        <w:sz w:val="18"/>
        <w:szCs w:val="18"/>
      </w:rPr>
      <w:t xml:space="preserve"> May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297" w:rsidRDefault="00A96297" w:rsidP="006E06FD">
      <w:pPr>
        <w:spacing w:line="240" w:lineRule="auto"/>
      </w:pPr>
      <w:r>
        <w:separator/>
      </w:r>
    </w:p>
  </w:footnote>
  <w:footnote w:type="continuationSeparator" w:id="0">
    <w:p w:rsidR="00A96297" w:rsidRDefault="00A96297" w:rsidP="006E06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300A"/>
    <w:multiLevelType w:val="hybridMultilevel"/>
    <w:tmpl w:val="66B8F85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51342D"/>
    <w:multiLevelType w:val="hybridMultilevel"/>
    <w:tmpl w:val="219E1D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626040"/>
    <w:multiLevelType w:val="hybridMultilevel"/>
    <w:tmpl w:val="9E3CFA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4E4FD7"/>
    <w:multiLevelType w:val="hybridMultilevel"/>
    <w:tmpl w:val="831AF46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9F54EC"/>
    <w:multiLevelType w:val="hybridMultilevel"/>
    <w:tmpl w:val="5E008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6441622"/>
    <w:multiLevelType w:val="hybridMultilevel"/>
    <w:tmpl w:val="E37E158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6C11AF"/>
    <w:multiLevelType w:val="hybridMultilevel"/>
    <w:tmpl w:val="6094758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9B32EC"/>
    <w:multiLevelType w:val="hybridMultilevel"/>
    <w:tmpl w:val="AC84B7B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F51CB8"/>
    <w:multiLevelType w:val="hybridMultilevel"/>
    <w:tmpl w:val="FFD053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C9768C2"/>
    <w:multiLevelType w:val="hybridMultilevel"/>
    <w:tmpl w:val="436A84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99B2D3C"/>
    <w:multiLevelType w:val="hybridMultilevel"/>
    <w:tmpl w:val="2DE299C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9E2692"/>
    <w:multiLevelType w:val="hybridMultilevel"/>
    <w:tmpl w:val="3F843E84"/>
    <w:lvl w:ilvl="0" w:tplc="1D8875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5B435A"/>
    <w:multiLevelType w:val="hybridMultilevel"/>
    <w:tmpl w:val="08305BB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C1E7CAF"/>
    <w:multiLevelType w:val="hybridMultilevel"/>
    <w:tmpl w:val="4A785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6A5AD3"/>
    <w:multiLevelType w:val="hybridMultilevel"/>
    <w:tmpl w:val="0FACBD5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2D51E09"/>
    <w:multiLevelType w:val="hybridMultilevel"/>
    <w:tmpl w:val="CAFEEAB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3A372FA"/>
    <w:multiLevelType w:val="hybridMultilevel"/>
    <w:tmpl w:val="71BA74B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973F29"/>
    <w:multiLevelType w:val="hybridMultilevel"/>
    <w:tmpl w:val="0EF8B8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808123F"/>
    <w:multiLevelType w:val="hybridMultilevel"/>
    <w:tmpl w:val="75082D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C0B09F0"/>
    <w:multiLevelType w:val="hybridMultilevel"/>
    <w:tmpl w:val="BF36EDC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F5B192C"/>
    <w:multiLevelType w:val="hybridMultilevel"/>
    <w:tmpl w:val="E97E38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12"/>
  </w:num>
  <w:num w:numId="9">
    <w:abstractNumId w:val="16"/>
  </w:num>
  <w:num w:numId="10">
    <w:abstractNumId w:val="3"/>
  </w:num>
  <w:num w:numId="11">
    <w:abstractNumId w:val="15"/>
  </w:num>
  <w:num w:numId="12">
    <w:abstractNumId w:val="7"/>
  </w:num>
  <w:num w:numId="13">
    <w:abstractNumId w:val="2"/>
  </w:num>
  <w:num w:numId="14">
    <w:abstractNumId w:val="19"/>
  </w:num>
  <w:num w:numId="15">
    <w:abstractNumId w:val="4"/>
  </w:num>
  <w:num w:numId="16">
    <w:abstractNumId w:val="8"/>
  </w:num>
  <w:num w:numId="17">
    <w:abstractNumId w:val="5"/>
  </w:num>
  <w:num w:numId="18">
    <w:abstractNumId w:val="18"/>
  </w:num>
  <w:num w:numId="19">
    <w:abstractNumId w:val="14"/>
  </w:num>
  <w:num w:numId="20">
    <w:abstractNumId w:val="20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068D"/>
    <w:rsid w:val="0002552F"/>
    <w:rsid w:val="00044D6E"/>
    <w:rsid w:val="00070E4B"/>
    <w:rsid w:val="000755CA"/>
    <w:rsid w:val="00080EF3"/>
    <w:rsid w:val="000836BB"/>
    <w:rsid w:val="000863EF"/>
    <w:rsid w:val="0009561C"/>
    <w:rsid w:val="000A644C"/>
    <w:rsid w:val="000A7C0E"/>
    <w:rsid w:val="000B023C"/>
    <w:rsid w:val="000C17D4"/>
    <w:rsid w:val="00101FA1"/>
    <w:rsid w:val="0010360B"/>
    <w:rsid w:val="0010787E"/>
    <w:rsid w:val="00116C27"/>
    <w:rsid w:val="00121808"/>
    <w:rsid w:val="00131F67"/>
    <w:rsid w:val="001464F4"/>
    <w:rsid w:val="001538A9"/>
    <w:rsid w:val="001A6703"/>
    <w:rsid w:val="001F298A"/>
    <w:rsid w:val="00224030"/>
    <w:rsid w:val="002307D2"/>
    <w:rsid w:val="00233837"/>
    <w:rsid w:val="0024371E"/>
    <w:rsid w:val="00246ABA"/>
    <w:rsid w:val="00250962"/>
    <w:rsid w:val="00253858"/>
    <w:rsid w:val="002967F0"/>
    <w:rsid w:val="002A45F8"/>
    <w:rsid w:val="002A6297"/>
    <w:rsid w:val="002A6C65"/>
    <w:rsid w:val="002C0E1A"/>
    <w:rsid w:val="002C7C1D"/>
    <w:rsid w:val="00323158"/>
    <w:rsid w:val="00331327"/>
    <w:rsid w:val="00350420"/>
    <w:rsid w:val="00360C24"/>
    <w:rsid w:val="003739D6"/>
    <w:rsid w:val="003818C4"/>
    <w:rsid w:val="0038519C"/>
    <w:rsid w:val="00392B8E"/>
    <w:rsid w:val="003975B4"/>
    <w:rsid w:val="003B6F9E"/>
    <w:rsid w:val="003B7388"/>
    <w:rsid w:val="003C4F5D"/>
    <w:rsid w:val="003C59FF"/>
    <w:rsid w:val="003D127A"/>
    <w:rsid w:val="003E58AA"/>
    <w:rsid w:val="003F1E93"/>
    <w:rsid w:val="003F28BD"/>
    <w:rsid w:val="004122B0"/>
    <w:rsid w:val="00430959"/>
    <w:rsid w:val="00432D4F"/>
    <w:rsid w:val="004337E2"/>
    <w:rsid w:val="004415D0"/>
    <w:rsid w:val="00452907"/>
    <w:rsid w:val="004604D9"/>
    <w:rsid w:val="00465528"/>
    <w:rsid w:val="00466DEF"/>
    <w:rsid w:val="00476D49"/>
    <w:rsid w:val="004776FB"/>
    <w:rsid w:val="00493AEA"/>
    <w:rsid w:val="004956B3"/>
    <w:rsid w:val="004C72B5"/>
    <w:rsid w:val="004F0C24"/>
    <w:rsid w:val="004F0E42"/>
    <w:rsid w:val="00501055"/>
    <w:rsid w:val="005022F5"/>
    <w:rsid w:val="00513798"/>
    <w:rsid w:val="005507EB"/>
    <w:rsid w:val="00551089"/>
    <w:rsid w:val="00571365"/>
    <w:rsid w:val="00573AFE"/>
    <w:rsid w:val="00583098"/>
    <w:rsid w:val="00584CF8"/>
    <w:rsid w:val="0059658B"/>
    <w:rsid w:val="005A48F3"/>
    <w:rsid w:val="005B5B11"/>
    <w:rsid w:val="005B6A01"/>
    <w:rsid w:val="005D5E18"/>
    <w:rsid w:val="005D761E"/>
    <w:rsid w:val="005E4AA0"/>
    <w:rsid w:val="005F14C6"/>
    <w:rsid w:val="00605D85"/>
    <w:rsid w:val="00606342"/>
    <w:rsid w:val="006075A5"/>
    <w:rsid w:val="0062567B"/>
    <w:rsid w:val="00642A88"/>
    <w:rsid w:val="0068495A"/>
    <w:rsid w:val="00686719"/>
    <w:rsid w:val="006A553A"/>
    <w:rsid w:val="006B07D5"/>
    <w:rsid w:val="006B6BC6"/>
    <w:rsid w:val="006E06FD"/>
    <w:rsid w:val="006F4C75"/>
    <w:rsid w:val="007049EA"/>
    <w:rsid w:val="007164C3"/>
    <w:rsid w:val="007262FE"/>
    <w:rsid w:val="0073054D"/>
    <w:rsid w:val="00734E20"/>
    <w:rsid w:val="00754324"/>
    <w:rsid w:val="00754CCF"/>
    <w:rsid w:val="007619D2"/>
    <w:rsid w:val="0078106F"/>
    <w:rsid w:val="0079120C"/>
    <w:rsid w:val="00793AE8"/>
    <w:rsid w:val="007A3C20"/>
    <w:rsid w:val="007B781F"/>
    <w:rsid w:val="007C0155"/>
    <w:rsid w:val="00800FD5"/>
    <w:rsid w:val="0081454C"/>
    <w:rsid w:val="00853963"/>
    <w:rsid w:val="00856FE8"/>
    <w:rsid w:val="00881859"/>
    <w:rsid w:val="008850B4"/>
    <w:rsid w:val="00896279"/>
    <w:rsid w:val="00897531"/>
    <w:rsid w:val="008A47C9"/>
    <w:rsid w:val="008E56A3"/>
    <w:rsid w:val="008E7951"/>
    <w:rsid w:val="00907A6D"/>
    <w:rsid w:val="00914099"/>
    <w:rsid w:val="0091730A"/>
    <w:rsid w:val="00922BF8"/>
    <w:rsid w:val="009407D5"/>
    <w:rsid w:val="0095068D"/>
    <w:rsid w:val="00952B56"/>
    <w:rsid w:val="00955F84"/>
    <w:rsid w:val="00960C28"/>
    <w:rsid w:val="00964762"/>
    <w:rsid w:val="00982EE2"/>
    <w:rsid w:val="009927B7"/>
    <w:rsid w:val="009D005B"/>
    <w:rsid w:val="009D0FD7"/>
    <w:rsid w:val="009E3B02"/>
    <w:rsid w:val="00A02020"/>
    <w:rsid w:val="00A048E4"/>
    <w:rsid w:val="00A30341"/>
    <w:rsid w:val="00A55F88"/>
    <w:rsid w:val="00A57D84"/>
    <w:rsid w:val="00A96297"/>
    <w:rsid w:val="00A97EE2"/>
    <w:rsid w:val="00AA1910"/>
    <w:rsid w:val="00AD5C06"/>
    <w:rsid w:val="00AD7627"/>
    <w:rsid w:val="00AE0395"/>
    <w:rsid w:val="00AF7D5D"/>
    <w:rsid w:val="00B14555"/>
    <w:rsid w:val="00B203DB"/>
    <w:rsid w:val="00B46B69"/>
    <w:rsid w:val="00BA4493"/>
    <w:rsid w:val="00BB598B"/>
    <w:rsid w:val="00BF12B5"/>
    <w:rsid w:val="00C234FF"/>
    <w:rsid w:val="00C42E72"/>
    <w:rsid w:val="00C4538E"/>
    <w:rsid w:val="00C456D2"/>
    <w:rsid w:val="00C73B18"/>
    <w:rsid w:val="00C8398E"/>
    <w:rsid w:val="00C9137B"/>
    <w:rsid w:val="00C97FB9"/>
    <w:rsid w:val="00CA0A2B"/>
    <w:rsid w:val="00CC1D25"/>
    <w:rsid w:val="00CC7460"/>
    <w:rsid w:val="00CF10CE"/>
    <w:rsid w:val="00D0796F"/>
    <w:rsid w:val="00D14D38"/>
    <w:rsid w:val="00D5675C"/>
    <w:rsid w:val="00D70388"/>
    <w:rsid w:val="00D76264"/>
    <w:rsid w:val="00D82E12"/>
    <w:rsid w:val="00DA223D"/>
    <w:rsid w:val="00DA3524"/>
    <w:rsid w:val="00DA42FC"/>
    <w:rsid w:val="00DA5795"/>
    <w:rsid w:val="00DB2FF2"/>
    <w:rsid w:val="00DF1D98"/>
    <w:rsid w:val="00E01AAE"/>
    <w:rsid w:val="00E1750B"/>
    <w:rsid w:val="00E26410"/>
    <w:rsid w:val="00E30B13"/>
    <w:rsid w:val="00E31B50"/>
    <w:rsid w:val="00E5301A"/>
    <w:rsid w:val="00E869DD"/>
    <w:rsid w:val="00E973E5"/>
    <w:rsid w:val="00EA4338"/>
    <w:rsid w:val="00EC4B81"/>
    <w:rsid w:val="00EE586F"/>
    <w:rsid w:val="00EF0023"/>
    <w:rsid w:val="00F014D7"/>
    <w:rsid w:val="00F056F4"/>
    <w:rsid w:val="00F437E6"/>
    <w:rsid w:val="00F6164D"/>
    <w:rsid w:val="00F62FD3"/>
    <w:rsid w:val="00F80BD9"/>
    <w:rsid w:val="00F92DE5"/>
    <w:rsid w:val="00FA5496"/>
    <w:rsid w:val="00FB738F"/>
    <w:rsid w:val="00FB78FA"/>
    <w:rsid w:val="00FD08EC"/>
    <w:rsid w:val="00FE36B0"/>
    <w:rsid w:val="00FE3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00b050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D38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2B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739D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E06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06FD"/>
    <w:rPr>
      <w:sz w:val="22"/>
      <w:szCs w:val="22"/>
    </w:rPr>
  </w:style>
  <w:style w:type="paragraph" w:styleId="Footer">
    <w:name w:val="footer"/>
    <w:basedOn w:val="Normal"/>
    <w:link w:val="FooterChar"/>
    <w:unhideWhenUsed/>
    <w:rsid w:val="006E06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E06F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6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6F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1AAE"/>
    <w:rPr>
      <w:color w:val="0000FF"/>
      <w:u w:val="single"/>
    </w:rPr>
  </w:style>
  <w:style w:type="table" w:styleId="LightGrid-Accent6">
    <w:name w:val="Light Grid Accent 6"/>
    <w:basedOn w:val="TableNormal"/>
    <w:uiPriority w:val="62"/>
    <w:rsid w:val="0081454C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character" w:styleId="PageNumber">
    <w:name w:val="page number"/>
    <w:basedOn w:val="DefaultParagraphFont"/>
    <w:rsid w:val="008145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2011-06-01T20:44:00Z</cp:lastPrinted>
  <dcterms:created xsi:type="dcterms:W3CDTF">2011-06-03T20:47:00Z</dcterms:created>
  <dcterms:modified xsi:type="dcterms:W3CDTF">2011-06-03T20:47:00Z</dcterms:modified>
</cp:coreProperties>
</file>